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492" w:rsidRDefault="00FA0492" w:rsidP="00FA0492">
      <w:pPr>
        <w:numPr>
          <w:ilvl w:val="5"/>
          <w:numId w:val="1"/>
        </w:numPr>
        <w:tabs>
          <w:tab w:val="clear" w:pos="4320"/>
        </w:tabs>
        <w:ind w:left="0" w:firstLine="0"/>
        <w:jc w:val="both"/>
      </w:pPr>
      <w:bookmarkStart w:id="0" w:name="OLE_LINK12"/>
      <w:r>
        <w:t xml:space="preserve">Section 6 Etablissements de pratique de tir aux armes de chasse </w:t>
      </w:r>
    </w:p>
    <w:p w:rsidR="00FA0492" w:rsidRDefault="00FA0492" w:rsidP="00FA0492">
      <w:pPr>
        <w:jc w:val="both"/>
      </w:pPr>
    </w:p>
    <w:p w:rsidR="00FA0492" w:rsidRPr="00FA0492" w:rsidRDefault="00FA0492" w:rsidP="00FA0492">
      <w:pPr>
        <w:jc w:val="both"/>
      </w:pPr>
      <w:r w:rsidRPr="00FA0492">
        <w:t xml:space="preserve">Article A322-142 </w:t>
      </w:r>
      <w:r w:rsidRPr="00FA0492">
        <w:rPr>
          <w:b/>
        </w:rPr>
        <w:t>(A 26/05/2016)</w:t>
      </w:r>
    </w:p>
    <w:p w:rsidR="00FA0492" w:rsidRPr="00FA0492" w:rsidRDefault="00FA0492" w:rsidP="00FA0492">
      <w:pPr>
        <w:pStyle w:val="NormalWeb"/>
        <w:spacing w:before="0" w:beforeAutospacing="0" w:after="0" w:afterAutospacing="0"/>
        <w:jc w:val="both"/>
        <w:rPr>
          <w:rFonts w:ascii="Times New Roman" w:hAnsi="Times New Roman"/>
        </w:rPr>
      </w:pPr>
      <w:r w:rsidRPr="00FA0492">
        <w:rPr>
          <w:rFonts w:ascii="Times New Roman" w:hAnsi="Times New Roman"/>
        </w:rPr>
        <w:t>Les établissements permanents ou les installations temporaires dans lesquels sont pratiquées des activités de tir aux armes de chasse constituent des établissements d'activités physiques ou sportives au sens de l'article L. 322-2.</w:t>
      </w:r>
    </w:p>
    <w:p w:rsidR="00FA0492" w:rsidRPr="00FA0492" w:rsidRDefault="00FA0492" w:rsidP="00FA0492">
      <w:pPr>
        <w:jc w:val="both"/>
      </w:pPr>
    </w:p>
    <w:p w:rsidR="00FA0492" w:rsidRPr="00FA0492" w:rsidRDefault="00FA0492" w:rsidP="00FA0492">
      <w:pPr>
        <w:jc w:val="both"/>
      </w:pPr>
      <w:r w:rsidRPr="00FA0492">
        <w:t xml:space="preserve">Article A322-143 </w:t>
      </w:r>
      <w:r w:rsidRPr="00FA0492">
        <w:rPr>
          <w:b/>
        </w:rPr>
        <w:t>(A 26/05/2016)</w:t>
      </w:r>
    </w:p>
    <w:p w:rsidR="00FA0492" w:rsidRPr="00FA0492" w:rsidRDefault="00FA0492" w:rsidP="00FA0492">
      <w:pPr>
        <w:pStyle w:val="NormalWeb"/>
        <w:spacing w:before="0" w:beforeAutospacing="0" w:after="0" w:afterAutospacing="0"/>
        <w:jc w:val="both"/>
        <w:rPr>
          <w:rFonts w:ascii="Times New Roman" w:hAnsi="Times New Roman"/>
        </w:rPr>
      </w:pPr>
      <w:r w:rsidRPr="00FA0492">
        <w:rPr>
          <w:rFonts w:ascii="Times New Roman" w:eastAsia="Times New Roman" w:hAnsi="Times New Roman" w:cs="Times New Roman"/>
        </w:rPr>
        <w:t>L'exploitant réalise un plan comportant</w:t>
      </w:r>
      <w:r w:rsidRPr="00FA0492">
        <w:rPr>
          <w:rFonts w:ascii="Times New Roman" w:hAnsi="Times New Roman"/>
        </w:rPr>
        <w:t xml:space="preserve"> la désignation de l'emplacement retenu, les dates d'utilisation et un croquis indiquant la situation des appareils de lancement, l'orientation des tirs, les voies d'accès, les protections prévues et l'emplacement réservé au public.</w:t>
      </w:r>
    </w:p>
    <w:p w:rsidR="00FA0492" w:rsidRPr="00FA0492" w:rsidRDefault="00FA0492" w:rsidP="00FA0492">
      <w:pPr>
        <w:pStyle w:val="NormalWeb"/>
        <w:spacing w:before="0" w:beforeAutospacing="0" w:after="0" w:afterAutospacing="0"/>
        <w:jc w:val="both"/>
        <w:rPr>
          <w:rFonts w:ascii="Times New Roman" w:hAnsi="Times New Roman"/>
        </w:rPr>
      </w:pPr>
      <w:r w:rsidRPr="00FA0492">
        <w:rPr>
          <w:rFonts w:ascii="Times New Roman" w:eastAsia="Times New Roman" w:hAnsi="Times New Roman" w:cs="Times New Roman"/>
        </w:rPr>
        <w:t>Ce plan est transmis au préfet de département quinze jours avant l'ouverture de l'établissement ainsi qu'après chaque modification</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Si aucun obstacle ne fait office d'écran protecteur, une distance minimale de deux cent cinquante mètres dans la direction normale du tir doit séparer des routes et habitations riveraines tout établissement d'activités physiques ou sportives où sont pratiquées des activités de tir aux armes de chasse.</w:t>
      </w:r>
    </w:p>
    <w:p w:rsidR="00FA0492" w:rsidRDefault="00FA0492" w:rsidP="00FA0492">
      <w:pPr>
        <w:jc w:val="both"/>
      </w:pPr>
    </w:p>
    <w:p w:rsidR="00FA0492" w:rsidRDefault="00FA0492" w:rsidP="00FA0492">
      <w:pPr>
        <w:jc w:val="both"/>
      </w:pPr>
      <w:r>
        <w:t xml:space="preserve">Article A322-144 </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Toutes les précautions nécessaires sont prises afin de garantir à l'extérieur des établissements ou installations la sécurité des riverains et à l'intérieur la protection du public, des tireurs et du personnel opérant sur les stands, tant en ce qui concerne les équipements techniques mis à la disposition des tireurs et leur maniement qu'en ce qui concerne les risques de ricochets, de projectiles perdus et de retombées de plombs ou de fragments de plateaux, par référence aux règlements techniques déposés par la Fédération française de ball-trap auprès du ministre de l'intérieur et du ministre chargé des sports.</w:t>
      </w:r>
    </w:p>
    <w:p w:rsidR="00FA0492" w:rsidRDefault="00FA0492" w:rsidP="00FA0492">
      <w:pPr>
        <w:jc w:val="both"/>
      </w:pPr>
    </w:p>
    <w:p w:rsidR="00FA0492" w:rsidRDefault="00FA0492" w:rsidP="00FA0492">
      <w:pPr>
        <w:jc w:val="both"/>
      </w:pPr>
      <w:r>
        <w:t xml:space="preserve">Article A322-145 </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Pour l'exécution des tirs et au cours des épreuves ou des tirs d'entraînement, les pratiquants, sous la responsabilité de l'exploitant de l'établissement ou de l'installation, observent les règles de sécurité suivantes :</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 retirer les bretelles des fusils ;</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 ne faire des essais d'épaulement de fusil fermé, même vide, que sur le pas de tir et uniquement dans la direction normale de tir ;</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 ne charger l'arme qu'à son tour, l'arme basculée ou la culasse ouverte ;</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 ne se retourner en aucun cas vers le public, que l'arme soit ou non chargée ;</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 xml:space="preserve">― </w:t>
      </w:r>
      <w:proofErr w:type="gramStart"/>
      <w:r>
        <w:rPr>
          <w:rFonts w:ascii="Times New Roman" w:hAnsi="Times New Roman"/>
        </w:rPr>
        <w:t>en</w:t>
      </w:r>
      <w:proofErr w:type="gramEnd"/>
      <w:r>
        <w:rPr>
          <w:rFonts w:ascii="Times New Roman" w:hAnsi="Times New Roman"/>
        </w:rPr>
        <w:t xml:space="preserve"> cas d'interruption du tir, basculer ou ouvrir les fusils sur le pas de tir et retirer les cartouches.</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Ces règles de sécurité sont affichées de manière lisible en un lieu accessible à tous.</w:t>
      </w:r>
    </w:p>
    <w:p w:rsidR="00FA0492" w:rsidRDefault="00FA0492" w:rsidP="00FA0492">
      <w:pPr>
        <w:jc w:val="both"/>
      </w:pPr>
    </w:p>
    <w:p w:rsidR="00FA0492" w:rsidRDefault="00FA0492" w:rsidP="00FA0492">
      <w:pPr>
        <w:jc w:val="both"/>
      </w:pPr>
      <w:r>
        <w:t xml:space="preserve">Article A322-146 </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Le préfet peut s'opposer à l'ouverture ou prononcer la fermeture des établissements ou installations qui ne présentent pas les garanties de sécurité prévues par le présent code après consultation éventuelle des organismes locaux représentatifs de la Fédération française de ball-trap.</w:t>
      </w:r>
    </w:p>
    <w:p w:rsidR="00FA0492" w:rsidRDefault="00FA0492" w:rsidP="00FA0492">
      <w:pPr>
        <w:pStyle w:val="NormalWeb"/>
        <w:spacing w:before="0" w:beforeAutospacing="0" w:after="0" w:afterAutospacing="0"/>
        <w:jc w:val="both"/>
        <w:rPr>
          <w:rFonts w:ascii="Times New Roman" w:hAnsi="Times New Roman"/>
        </w:rPr>
      </w:pPr>
      <w:r>
        <w:rPr>
          <w:rFonts w:ascii="Times New Roman" w:hAnsi="Times New Roman"/>
        </w:rPr>
        <w:t>Il peut également s'opposer à l'ouverture de tout établissement ou installation si la responsabilité civile de l'organisateur et de chacun des participants n'est pas garantie par la souscription d'une assurance pour l'ensemble des activités de tir aux armes de chasse.</w:t>
      </w:r>
      <w:bookmarkEnd w:id="0"/>
    </w:p>
    <w:p w:rsidR="009C42C5" w:rsidRDefault="009C42C5"/>
    <w:sectPr w:rsidR="009C42C5" w:rsidSect="009C42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B1847"/>
    <w:multiLevelType w:val="hybridMultilevel"/>
    <w:tmpl w:val="FCB08426"/>
    <w:lvl w:ilvl="0" w:tplc="0B74D056">
      <w:start w:val="1"/>
      <w:numFmt w:val="bullet"/>
      <w:lvlText w:val=""/>
      <w:lvlJc w:val="left"/>
      <w:pPr>
        <w:tabs>
          <w:tab w:val="num" w:pos="720"/>
        </w:tabs>
        <w:ind w:left="720" w:hanging="360"/>
      </w:pPr>
      <w:rPr>
        <w:rFonts w:ascii="Symbol" w:hAnsi="Symbol" w:hint="default"/>
        <w:sz w:val="20"/>
      </w:rPr>
    </w:lvl>
    <w:lvl w:ilvl="1" w:tplc="2988A532">
      <w:start w:val="1"/>
      <w:numFmt w:val="bullet"/>
      <w:lvlText w:val="o"/>
      <w:lvlJc w:val="left"/>
      <w:pPr>
        <w:tabs>
          <w:tab w:val="num" w:pos="1440"/>
        </w:tabs>
        <w:ind w:left="1440" w:hanging="360"/>
      </w:pPr>
      <w:rPr>
        <w:rFonts w:ascii="Courier New" w:hAnsi="Courier New" w:hint="default"/>
        <w:sz w:val="20"/>
      </w:rPr>
    </w:lvl>
    <w:lvl w:ilvl="2" w:tplc="F710E9C0">
      <w:start w:val="1"/>
      <w:numFmt w:val="bullet"/>
      <w:lvlText w:val=""/>
      <w:lvlJc w:val="left"/>
      <w:pPr>
        <w:tabs>
          <w:tab w:val="num" w:pos="2160"/>
        </w:tabs>
        <w:ind w:left="2160" w:hanging="360"/>
      </w:pPr>
      <w:rPr>
        <w:rFonts w:ascii="Wingdings" w:hAnsi="Wingdings" w:hint="default"/>
        <w:sz w:val="20"/>
      </w:rPr>
    </w:lvl>
    <w:lvl w:ilvl="3" w:tplc="0B623224">
      <w:start w:val="1"/>
      <w:numFmt w:val="bullet"/>
      <w:lvlText w:val=""/>
      <w:lvlJc w:val="left"/>
      <w:pPr>
        <w:tabs>
          <w:tab w:val="num" w:pos="2880"/>
        </w:tabs>
        <w:ind w:left="2880" w:hanging="360"/>
      </w:pPr>
      <w:rPr>
        <w:rFonts w:ascii="Wingdings" w:hAnsi="Wingdings" w:hint="default"/>
        <w:sz w:val="20"/>
      </w:rPr>
    </w:lvl>
    <w:lvl w:ilvl="4" w:tplc="D4708582">
      <w:start w:val="1"/>
      <w:numFmt w:val="bullet"/>
      <w:lvlText w:val=""/>
      <w:lvlJc w:val="left"/>
      <w:pPr>
        <w:tabs>
          <w:tab w:val="num" w:pos="3600"/>
        </w:tabs>
        <w:ind w:left="3600" w:hanging="360"/>
      </w:pPr>
      <w:rPr>
        <w:rFonts w:ascii="Wingdings" w:hAnsi="Wingdings" w:hint="default"/>
        <w:sz w:val="20"/>
      </w:rPr>
    </w:lvl>
    <w:lvl w:ilvl="5" w:tplc="498CFB8A">
      <w:start w:val="1"/>
      <w:numFmt w:val="bullet"/>
      <w:lvlText w:val=""/>
      <w:lvlJc w:val="left"/>
      <w:pPr>
        <w:tabs>
          <w:tab w:val="num" w:pos="4320"/>
        </w:tabs>
        <w:ind w:left="4320" w:hanging="360"/>
      </w:pPr>
      <w:rPr>
        <w:rFonts w:ascii="Wingdings" w:hAnsi="Wingdings" w:hint="default"/>
        <w:sz w:val="20"/>
      </w:rPr>
    </w:lvl>
    <w:lvl w:ilvl="6" w:tplc="996E8A8C">
      <w:start w:val="1"/>
      <w:numFmt w:val="bullet"/>
      <w:lvlText w:val=""/>
      <w:lvlJc w:val="left"/>
      <w:pPr>
        <w:tabs>
          <w:tab w:val="num" w:pos="5040"/>
        </w:tabs>
        <w:ind w:left="5040" w:hanging="360"/>
      </w:pPr>
      <w:rPr>
        <w:rFonts w:ascii="Wingdings" w:hAnsi="Wingdings" w:hint="default"/>
        <w:sz w:val="20"/>
      </w:rPr>
    </w:lvl>
    <w:lvl w:ilvl="7" w:tplc="B69852DC">
      <w:start w:val="1"/>
      <w:numFmt w:val="bullet"/>
      <w:lvlText w:val=""/>
      <w:lvlJc w:val="left"/>
      <w:pPr>
        <w:tabs>
          <w:tab w:val="num" w:pos="5760"/>
        </w:tabs>
        <w:ind w:left="5760" w:hanging="360"/>
      </w:pPr>
      <w:rPr>
        <w:rFonts w:ascii="Wingdings" w:hAnsi="Wingdings" w:hint="default"/>
        <w:sz w:val="20"/>
      </w:rPr>
    </w:lvl>
    <w:lvl w:ilvl="8" w:tplc="3AC854BC"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0492"/>
    <w:rsid w:val="004C7980"/>
    <w:rsid w:val="009C42C5"/>
    <w:rsid w:val="00D31EB4"/>
    <w:rsid w:val="00FA049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49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FA0492"/>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467</Words>
  <Characters>2571</Characters>
  <Application>Microsoft Office Word</Application>
  <DocSecurity>0</DocSecurity>
  <Lines>21</Lines>
  <Paragraphs>6</Paragraphs>
  <ScaleCrop>false</ScaleCrop>
  <Company>MSS</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fbarouh</dc:creator>
  <cp:lastModifiedBy>fbarouh</cp:lastModifiedBy>
  <cp:revision>1</cp:revision>
  <dcterms:created xsi:type="dcterms:W3CDTF">2016-06-10T09:15:00Z</dcterms:created>
  <dcterms:modified xsi:type="dcterms:W3CDTF">2016-06-10T09:17:00Z</dcterms:modified>
</cp:coreProperties>
</file>