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A8FF6C" w14:textId="459DED04" w:rsidR="000572C3" w:rsidRPr="000572C3" w:rsidRDefault="000572C3" w:rsidP="000572C3">
      <w:pPr>
        <w:spacing w:line="240" w:lineRule="auto"/>
        <w:jc w:val="left"/>
        <w:rPr>
          <w:rFonts w:eastAsia="Wingdings" w:cs="Wingdings"/>
          <w:b/>
          <w:sz w:val="28"/>
          <w:szCs w:val="28"/>
        </w:rPr>
      </w:pPr>
      <w:r w:rsidRPr="000572C3">
        <w:rPr>
          <w:rFonts w:eastAsia="Wingdings" w:cs="Wingdings"/>
          <w:b/>
          <w:sz w:val="28"/>
          <w:szCs w:val="28"/>
        </w:rPr>
        <w:t>CROQUIS DE LA ZONE DE BALL-TRAP</w:t>
      </w:r>
    </w:p>
    <w:p w14:paraId="0C5B935A" w14:textId="77777777" w:rsidR="000572C3" w:rsidRPr="008D212F" w:rsidRDefault="000572C3" w:rsidP="000572C3">
      <w:pPr>
        <w:spacing w:line="240" w:lineRule="auto"/>
        <w:jc w:val="left"/>
        <w:rPr>
          <w:rFonts w:eastAsia="Wingdings" w:cs="Wingdings"/>
          <w:i/>
          <w:iCs/>
          <w:sz w:val="16"/>
          <w:szCs w:val="16"/>
        </w:rPr>
      </w:pPr>
      <w:r w:rsidRPr="008D212F">
        <w:rPr>
          <w:rFonts w:eastAsia="Wingdings" w:cs="Wingdings"/>
          <w:i/>
          <w:iCs/>
          <w:sz w:val="16"/>
          <w:szCs w:val="16"/>
        </w:rPr>
        <w:t>Il est conseillé d'utiliser une échelle d' 1cm pour 50 mètres couvrant une zone de 300 à 500 m autour de l’emplacement retenu permettant de vérifier si aucun obstacle naturel fait office d'écran protecteur, qu'une distance minimale de 250m dans la direction normale du tir sépare l'installation de ball-trap des routes et habitations riveraines.</w:t>
      </w:r>
    </w:p>
    <w:p w14:paraId="30309141" w14:textId="77777777" w:rsidR="000572C3" w:rsidRPr="008D212F" w:rsidRDefault="000572C3" w:rsidP="000572C3">
      <w:pPr>
        <w:spacing w:line="240" w:lineRule="auto"/>
        <w:jc w:val="left"/>
        <w:rPr>
          <w:rFonts w:eastAsia="Wingdings" w:cs="Wingdings"/>
          <w:sz w:val="16"/>
          <w:szCs w:val="16"/>
        </w:rPr>
      </w:pPr>
      <w:r w:rsidRPr="008D212F">
        <w:rPr>
          <w:rFonts w:eastAsia="Wingdings" w:cs="Wingdings"/>
          <w:sz w:val="16"/>
          <w:szCs w:val="16"/>
        </w:rPr>
        <w:t>Mentionner sur ce croquis :</w:t>
      </w:r>
    </w:p>
    <w:p w14:paraId="52412EDF" w14:textId="77777777" w:rsidR="000572C3" w:rsidRPr="008D212F" w:rsidRDefault="000572C3" w:rsidP="000572C3">
      <w:pPr>
        <w:numPr>
          <w:ilvl w:val="0"/>
          <w:numId w:val="5"/>
        </w:numPr>
        <w:spacing w:line="240" w:lineRule="auto"/>
        <w:jc w:val="left"/>
        <w:rPr>
          <w:rFonts w:eastAsia="Wingdings" w:cs="Wingdings"/>
          <w:sz w:val="16"/>
          <w:szCs w:val="16"/>
        </w:rPr>
      </w:pPr>
      <w:r w:rsidRPr="008D212F">
        <w:rPr>
          <w:rFonts w:eastAsia="Wingdings" w:cs="Wingdings"/>
          <w:sz w:val="16"/>
          <w:szCs w:val="16"/>
        </w:rPr>
        <w:t>la situation des appareils de lancement (manuels, ou automatiques) ;</w:t>
      </w:r>
    </w:p>
    <w:p w14:paraId="29B00D0F" w14:textId="77777777" w:rsidR="000572C3" w:rsidRPr="008D212F" w:rsidRDefault="000572C3" w:rsidP="000572C3">
      <w:pPr>
        <w:numPr>
          <w:ilvl w:val="0"/>
          <w:numId w:val="5"/>
        </w:numPr>
        <w:spacing w:line="240" w:lineRule="auto"/>
        <w:jc w:val="left"/>
        <w:rPr>
          <w:rFonts w:eastAsia="Wingdings" w:cs="Wingdings"/>
          <w:sz w:val="16"/>
          <w:szCs w:val="16"/>
        </w:rPr>
      </w:pPr>
      <w:r w:rsidRPr="008D212F">
        <w:rPr>
          <w:rFonts w:eastAsia="Wingdings" w:cs="Wingdings"/>
          <w:sz w:val="16"/>
          <w:szCs w:val="16"/>
        </w:rPr>
        <w:t>l'orientation des tirs ;</w:t>
      </w:r>
    </w:p>
    <w:p w14:paraId="61F1CF70" w14:textId="77777777" w:rsidR="000572C3" w:rsidRPr="008D212F" w:rsidRDefault="000572C3" w:rsidP="000572C3">
      <w:pPr>
        <w:numPr>
          <w:ilvl w:val="0"/>
          <w:numId w:val="5"/>
        </w:numPr>
        <w:spacing w:line="240" w:lineRule="auto"/>
        <w:jc w:val="left"/>
        <w:rPr>
          <w:rFonts w:eastAsia="Wingdings" w:cs="Wingdings"/>
          <w:sz w:val="16"/>
          <w:szCs w:val="16"/>
        </w:rPr>
      </w:pPr>
      <w:r w:rsidRPr="008D212F">
        <w:rPr>
          <w:rFonts w:eastAsia="Wingdings" w:cs="Wingdings"/>
          <w:sz w:val="16"/>
          <w:szCs w:val="16"/>
        </w:rPr>
        <w:t>les voies d'accès et l’accès pompier ;</w:t>
      </w:r>
    </w:p>
    <w:p w14:paraId="14AFF779" w14:textId="77777777" w:rsidR="000572C3" w:rsidRPr="008D212F" w:rsidRDefault="000572C3" w:rsidP="000572C3">
      <w:pPr>
        <w:numPr>
          <w:ilvl w:val="0"/>
          <w:numId w:val="5"/>
        </w:numPr>
        <w:spacing w:line="240" w:lineRule="auto"/>
        <w:jc w:val="left"/>
        <w:rPr>
          <w:rFonts w:eastAsia="Wingdings" w:cs="Wingdings"/>
          <w:sz w:val="16"/>
          <w:szCs w:val="16"/>
        </w:rPr>
      </w:pPr>
      <w:r w:rsidRPr="008D212F">
        <w:rPr>
          <w:rFonts w:eastAsia="Wingdings" w:cs="Wingdings"/>
          <w:sz w:val="16"/>
          <w:szCs w:val="16"/>
        </w:rPr>
        <w:t>les protections prévues (barrières, bottes de paille…) ;</w:t>
      </w:r>
    </w:p>
    <w:p w14:paraId="3DB59321" w14:textId="77777777" w:rsidR="000572C3" w:rsidRPr="008D212F" w:rsidRDefault="000572C3" w:rsidP="000572C3">
      <w:pPr>
        <w:numPr>
          <w:ilvl w:val="0"/>
          <w:numId w:val="5"/>
        </w:numPr>
        <w:spacing w:line="240" w:lineRule="auto"/>
        <w:jc w:val="left"/>
        <w:rPr>
          <w:rFonts w:eastAsia="Wingdings" w:cs="Wingdings"/>
          <w:sz w:val="16"/>
          <w:szCs w:val="16"/>
        </w:rPr>
      </w:pPr>
      <w:r w:rsidRPr="008D212F">
        <w:rPr>
          <w:rFonts w:eastAsia="Wingdings" w:cs="Wingdings"/>
          <w:sz w:val="16"/>
          <w:szCs w:val="16"/>
        </w:rPr>
        <w:t>l'emplacement réservé au public et le parking.</w:t>
      </w:r>
    </w:p>
    <w:p w14:paraId="79DA3F56" w14:textId="77777777" w:rsidR="000572C3" w:rsidRDefault="000572C3" w:rsidP="000572C3">
      <w:pPr>
        <w:spacing w:line="240" w:lineRule="auto"/>
        <w:jc w:val="left"/>
        <w:rPr>
          <w:rFonts w:eastAsia="Wingdings" w:cs="Wingdings"/>
          <w:sz w:val="16"/>
          <w:szCs w:val="16"/>
        </w:rPr>
      </w:pPr>
      <w:r w:rsidRPr="008D212F">
        <w:rPr>
          <w:rFonts w:eastAsia="Wingdings" w:cs="Wingdings"/>
          <w:sz w:val="16"/>
          <w:szCs w:val="16"/>
        </w:rPr>
        <w:t>Si aucun obstacle ne fait office d'écran protecteur, une distance minimale de 250 mètres dans la direction normale des tirs doit séparer des routes et habitations riveraines tout site de pratique des activités de tir aux armes de chasse.</w:t>
      </w:r>
    </w:p>
    <w:p w14:paraId="450D5CB0" w14:textId="77777777" w:rsidR="008A5183" w:rsidRPr="000572C3" w:rsidRDefault="008A5183" w:rsidP="008A5183">
      <w:pPr>
        <w:jc w:val="center"/>
      </w:pPr>
      <w:r>
        <w:rPr>
          <w:noProof/>
        </w:rPr>
        <mc:AlternateContent>
          <mc:Choice Requires="wps">
            <w:drawing>
              <wp:anchor distT="0" distB="0" distL="114300" distR="114300" simplePos="0" relativeHeight="251659264" behindDoc="0" locked="0" layoutInCell="1" allowOverlap="1" wp14:anchorId="2CA9B6C9" wp14:editId="05D6179D">
                <wp:simplePos x="0" y="0"/>
                <wp:positionH relativeFrom="column">
                  <wp:posOffset>3260584</wp:posOffset>
                </wp:positionH>
                <wp:positionV relativeFrom="paragraph">
                  <wp:posOffset>235585</wp:posOffset>
                </wp:positionV>
                <wp:extent cx="119944" cy="369711"/>
                <wp:effectExtent l="38100" t="25400" r="20320" b="11430"/>
                <wp:wrapNone/>
                <wp:docPr id="1513020480" name="Flèche vers le haut 1"/>
                <wp:cNvGraphicFramePr/>
                <a:graphic xmlns:a="http://schemas.openxmlformats.org/drawingml/2006/main">
                  <a:graphicData uri="http://schemas.microsoft.com/office/word/2010/wordprocessingShape">
                    <wps:wsp>
                      <wps:cNvSpPr/>
                      <wps:spPr>
                        <a:xfrm>
                          <a:off x="0" y="0"/>
                          <a:ext cx="119944" cy="369711"/>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C557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1" o:spid="_x0000_s1026" type="#_x0000_t68" style="position:absolute;margin-left:256.75pt;margin-top:18.55pt;width:9.4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" adj="3504" fillcolor="black [3200]" strokecolor="black [480]" strokeweight="1.5pt"/>
            </w:pict>
          </mc:Fallback>
        </mc:AlternateContent>
      </w:r>
      <w:r>
        <w:t>NORD</w:t>
      </w:r>
    </w:p>
    <w:p w14:paraId="0294A475" w14:textId="77777777" w:rsidR="000572C3" w:rsidRDefault="000572C3" w:rsidP="000572C3">
      <w:pPr>
        <w:spacing w:line="240" w:lineRule="auto"/>
        <w:jc w:val="left"/>
        <w:rPr>
          <w:rFonts w:eastAsia="Wingdings" w:cs="Wingdings"/>
          <w:sz w:val="16"/>
          <w:szCs w:val="16"/>
        </w:rPr>
      </w:pPr>
    </w:p>
    <w:p w14:paraId="6405853A" w14:textId="77777777" w:rsidR="008A5183" w:rsidRDefault="008A5183" w:rsidP="000572C3">
      <w:pPr>
        <w:spacing w:line="240" w:lineRule="auto"/>
        <w:jc w:val="left"/>
        <w:rPr>
          <w:rFonts w:eastAsia="Wingdings" w:cs="Wingdings"/>
          <w:sz w:val="16"/>
          <w:szCs w:val="16"/>
        </w:rPr>
      </w:pPr>
    </w:p>
    <w:p w14:paraId="40F2A47D" w14:textId="77777777" w:rsidR="008A5183" w:rsidRDefault="008A5183" w:rsidP="000572C3">
      <w:pPr>
        <w:spacing w:line="240" w:lineRule="auto"/>
        <w:jc w:val="left"/>
        <w:rPr>
          <w:rFonts w:eastAsia="Wingdings" w:cs="Wingdings"/>
          <w:sz w:val="16"/>
          <w:szCs w:val="16"/>
        </w:rPr>
      </w:pPr>
    </w:p>
    <w:p w14:paraId="232D4EF5" w14:textId="68CD425F" w:rsidR="008A5183" w:rsidRDefault="008A5183" w:rsidP="000572C3">
      <w:pPr>
        <w:spacing w:line="240" w:lineRule="auto"/>
        <w:jc w:val="left"/>
        <w:rPr>
          <w:rFonts w:eastAsia="Wingdings" w:cs="Wingdings"/>
          <w:sz w:val="16"/>
          <w:szCs w:val="16"/>
        </w:rPr>
      </w:pPr>
    </w:p>
    <w:p w14:paraId="19D6883B" w14:textId="25782688" w:rsidR="008A5183" w:rsidRPr="008D212F" w:rsidRDefault="008A5183" w:rsidP="008A5183">
      <w:pPr>
        <w:tabs>
          <w:tab w:val="left" w:pos="10348"/>
        </w:tabs>
        <w:spacing w:line="240" w:lineRule="auto"/>
        <w:jc w:val="left"/>
        <w:rPr>
          <w:rFonts w:eastAsia="Wingdings" w:cs="Wingdings"/>
          <w:sz w:val="16"/>
          <w:szCs w:val="16"/>
        </w:rPr>
      </w:pPr>
      <w:r>
        <w:rPr>
          <w:rFonts w:eastAsia="Wingdings" w:cs="Wingdings"/>
          <w:noProof/>
          <w:sz w:val="16"/>
          <w:szCs w:val="16"/>
        </w:rPr>
        <w:drawing>
          <wp:anchor distT="0" distB="0" distL="114300" distR="114300" simplePos="0" relativeHeight="251660288" behindDoc="0" locked="0" layoutInCell="1" allowOverlap="1" wp14:anchorId="3AA7EFCC" wp14:editId="08ADB472">
            <wp:simplePos x="0" y="0"/>
            <wp:positionH relativeFrom="column">
              <wp:posOffset>745137</wp:posOffset>
            </wp:positionH>
            <wp:positionV relativeFrom="paragraph">
              <wp:posOffset>722352</wp:posOffset>
            </wp:positionV>
            <wp:extent cx="5186229" cy="5716447"/>
            <wp:effectExtent l="0" t="0" r="0" b="0"/>
            <wp:wrapNone/>
            <wp:docPr id="1919557647" name="Image 2" descr="Une image contenant dessin, croquis, diagramme, Dessin au tra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57647" name="Image 2" descr="Une image contenant dessin, croquis, diagramme, Dessin au trait&#10;&#10;Le contenu généré par l’IA peut être incorrect."/>
                    <pic:cNvPicPr/>
                  </pic:nvPicPr>
                  <pic:blipFill>
                    <a:blip r:embed="rId7"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5186229" cy="5716447"/>
                    </a:xfrm>
                    <a:prstGeom prst="rect">
                      <a:avLst/>
                    </a:prstGeom>
                  </pic:spPr>
                </pic:pic>
              </a:graphicData>
            </a:graphic>
            <wp14:sizeRelH relativeFrom="page">
              <wp14:pctWidth>0</wp14:pctWidth>
            </wp14:sizeRelH>
            <wp14:sizeRelV relativeFrom="page">
              <wp14:pctHeight>0</wp14:pctHeight>
            </wp14:sizeRelV>
          </wp:anchor>
        </w:drawing>
      </w:r>
    </w:p>
    <w:sectPr w:rsidR="008A5183" w:rsidRPr="008D212F" w:rsidSect="0031098F">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386"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55E9" w14:textId="77777777" w:rsidR="0008556B" w:rsidRDefault="0008556B">
      <w:pPr>
        <w:spacing w:line="240" w:lineRule="auto"/>
      </w:pPr>
      <w:r>
        <w:separator/>
      </w:r>
    </w:p>
  </w:endnote>
  <w:endnote w:type="continuationSeparator" w:id="0">
    <w:p w14:paraId="542879CE" w14:textId="77777777" w:rsidR="0008556B" w:rsidRDefault="00085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0"/>
    <w:family w:val="auto"/>
    <w:pitch w:val="variable"/>
    <w:sig w:usb0="800000AF" w:usb1="1001ECEA" w:usb2="00000000" w:usb3="00000000" w:csb0="0000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A526" w14:textId="77777777" w:rsidR="000572C3" w:rsidRDefault="000572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29AA" w14:textId="77777777" w:rsidR="0006127D" w:rsidRDefault="0006127D">
    <w:pPr>
      <w:pStyle w:val="Pieddepage"/>
      <w:jc w:val="right"/>
    </w:pPr>
    <w:r>
      <w:rPr>
        <w:i/>
        <w:iCs/>
        <w:sz w:val="18"/>
        <w:szCs w:val="18"/>
      </w:rPr>
      <w:t xml:space="preserve">Version </w:t>
    </w:r>
    <w:r w:rsidR="00F47194">
      <w:rPr>
        <w:i/>
        <w:iCs/>
        <w:sz w:val="18"/>
        <w:szCs w:val="18"/>
      </w:rPr>
      <w:t>février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60F7" w14:textId="77777777" w:rsidR="000572C3" w:rsidRDefault="000572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9E0E" w14:textId="77777777" w:rsidR="0008556B" w:rsidRDefault="0008556B">
      <w:pPr>
        <w:spacing w:line="240" w:lineRule="auto"/>
      </w:pPr>
      <w:r>
        <w:separator/>
      </w:r>
    </w:p>
  </w:footnote>
  <w:footnote w:type="continuationSeparator" w:id="0">
    <w:p w14:paraId="37CF98D5" w14:textId="77777777" w:rsidR="0008556B" w:rsidRDefault="000855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9FFA" w14:textId="1300FEA6" w:rsidR="00B80E9A" w:rsidRDefault="0008556B">
    <w:pPr>
      <w:pStyle w:val="En-tte"/>
    </w:pPr>
    <w:r>
      <w:rPr>
        <w:noProof/>
      </w:rPr>
      <w:pict w14:anchorId="2835D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74571" o:spid="_x0000_s1027" type="#_x0000_t136" alt="" style="position:absolute;left:0;text-align:left;margin-left:0;margin-top:0;width:682.85pt;height:54.3pt;rotation:315;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EXEMPLE A PERSONNALIS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CDEF" w14:textId="50074211" w:rsidR="00B80E9A" w:rsidRDefault="0008556B">
    <w:pPr>
      <w:pStyle w:val="En-tte"/>
    </w:pPr>
    <w:r>
      <w:rPr>
        <w:noProof/>
      </w:rPr>
      <w:pict w14:anchorId="417E7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74572" o:spid="_x0000_s1026" type="#_x0000_t136" alt="" style="position:absolute;left:0;text-align:left;margin-left:0;margin-top:0;width:682.85pt;height:54.3pt;rotation:315;z-index:-2516459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EXEMPLE A PERSONNALIS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545A" w14:textId="6B2B8A6F" w:rsidR="00B80E9A" w:rsidRPr="0031098F" w:rsidRDefault="0008556B">
    <w:pPr>
      <w:pStyle w:val="En-tte"/>
      <w:rPr>
        <w:sz w:val="16"/>
        <w:szCs w:val="16"/>
      </w:rPr>
    </w:pPr>
    <w:r>
      <w:rPr>
        <w:noProof/>
      </w:rPr>
      <w:pict w14:anchorId="006AC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74570" o:spid="_x0000_s1025" type="#_x0000_t136" alt="" style="position:absolute;left:0;text-align:left;margin-left:0;margin-top:0;width:682.85pt;height:54.3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EXEMPLE A PERSONNALIS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3"/>
    <w:lvl w:ilvl="0">
      <w:start w:val="1"/>
      <w:numFmt w:val="bullet"/>
      <w:pStyle w:val="Listepuces31"/>
      <w:lvlText w:val=""/>
      <w:lvlJc w:val="left"/>
      <w:pPr>
        <w:tabs>
          <w:tab w:val="num" w:pos="0"/>
        </w:tabs>
        <w:ind w:left="36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upperLetter"/>
      <w:pStyle w:val="Titre2"/>
      <w:lvlText w:val="%1."/>
      <w:lvlJc w:val="left"/>
      <w:pPr>
        <w:tabs>
          <w:tab w:val="num" w:pos="360"/>
        </w:tabs>
        <w:ind w:left="360" w:hanging="360"/>
      </w:pPr>
    </w:lvl>
  </w:abstractNum>
  <w:abstractNum w:abstractNumId="4" w15:restartNumberingAfterBreak="0">
    <w:nsid w:val="368D7664"/>
    <w:multiLevelType w:val="hybridMultilevel"/>
    <w:tmpl w:val="5E1A6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47455A"/>
    <w:multiLevelType w:val="hybridMultilevel"/>
    <w:tmpl w:val="80AA6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0230313">
    <w:abstractNumId w:val="0"/>
  </w:num>
  <w:num w:numId="2" w16cid:durableId="1297642281">
    <w:abstractNumId w:val="1"/>
  </w:num>
  <w:num w:numId="3" w16cid:durableId="1216356509">
    <w:abstractNumId w:val="2"/>
  </w:num>
  <w:num w:numId="4" w16cid:durableId="1650817285">
    <w:abstractNumId w:val="3"/>
  </w:num>
  <w:num w:numId="5" w16cid:durableId="179243102">
    <w:abstractNumId w:val="5"/>
  </w:num>
  <w:num w:numId="6" w16cid:durableId="666128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97"/>
    <w:rsid w:val="000167FD"/>
    <w:rsid w:val="000572C3"/>
    <w:rsid w:val="0006127D"/>
    <w:rsid w:val="000830EF"/>
    <w:rsid w:val="0008556B"/>
    <w:rsid w:val="00180969"/>
    <w:rsid w:val="0031098F"/>
    <w:rsid w:val="00320D78"/>
    <w:rsid w:val="005D56E2"/>
    <w:rsid w:val="005F4AC9"/>
    <w:rsid w:val="00884DBF"/>
    <w:rsid w:val="008A5183"/>
    <w:rsid w:val="008D212F"/>
    <w:rsid w:val="00A85297"/>
    <w:rsid w:val="00B628FC"/>
    <w:rsid w:val="00B80E9A"/>
    <w:rsid w:val="00C14D6D"/>
    <w:rsid w:val="00D54954"/>
    <w:rsid w:val="00E0438F"/>
    <w:rsid w:val="00E33855"/>
    <w:rsid w:val="00EB4F22"/>
    <w:rsid w:val="00F47194"/>
    <w:rsid w:val="00FC389B"/>
    <w:rsid w:val="00FD3F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7FFED9"/>
  <w15:chartTrackingRefBased/>
  <w15:docId w15:val="{281AC93F-5A99-BA46-829D-427C4B4F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jc w:val="both"/>
    </w:pPr>
    <w:rPr>
      <w:rFonts w:eastAsia="Calibri"/>
      <w:sz w:val="24"/>
      <w:szCs w:val="24"/>
      <w:lang w:eastAsia="zh-CN"/>
    </w:rPr>
  </w:style>
  <w:style w:type="paragraph" w:styleId="Titre1">
    <w:name w:val="heading 1"/>
    <w:basedOn w:val="Normal"/>
    <w:next w:val="Normal"/>
    <w:qFormat/>
    <w:pPr>
      <w:keepNext/>
      <w:spacing w:before="240" w:after="60"/>
      <w:outlineLvl w:val="0"/>
    </w:pPr>
    <w:rPr>
      <w:rFonts w:ascii="Cambria" w:eastAsia="Times New Roman" w:hAnsi="Cambria" w:cs="Cambria"/>
      <w:b/>
      <w:bCs/>
      <w:kern w:val="2"/>
      <w:sz w:val="32"/>
      <w:szCs w:val="32"/>
    </w:rPr>
  </w:style>
  <w:style w:type="paragraph" w:styleId="Titre2">
    <w:name w:val="heading 2"/>
    <w:basedOn w:val="Normal"/>
    <w:next w:val="Normal"/>
    <w:qFormat/>
    <w:pPr>
      <w:keepNext/>
      <w:numPr>
        <w:numId w:val="4"/>
      </w:numPr>
      <w:outlineLvl w:val="1"/>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2"/>
      <w:szCs w:val="22"/>
    </w:rPr>
  </w:style>
  <w:style w:type="character" w:customStyle="1" w:styleId="WW8Num3z0">
    <w:name w:val="WW8Num3z0"/>
    <w:rPr>
      <w:rFonts w:ascii="Wingdings" w:hAnsi="Wingdings" w:cs="Wingdings" w:hint="default"/>
    </w:rPr>
  </w:style>
  <w:style w:type="character" w:customStyle="1" w:styleId="WW8Num4z0">
    <w:name w:val="WW8Num4z0"/>
  </w:style>
  <w:style w:type="character" w:customStyle="1" w:styleId="WW8Num5z0">
    <w:name w:val="WW8Num5z0"/>
    <w:rPr>
      <w:rFonts w:ascii="Symbol" w:hAnsi="Symbol" w:cs="Symbol" w:hint="default"/>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Symbol" w:hAnsi="Symbol" w:cs="Symbol"/>
    </w:rPr>
  </w:style>
  <w:style w:type="character" w:customStyle="1" w:styleId="WW8Num6z0">
    <w:name w:val="WW8Num6z0"/>
    <w:rPr>
      <w:rFonts w:ascii="Wingdings" w:hAnsi="Wingdings" w:cs="Wingdings"/>
    </w:rPr>
  </w:style>
  <w:style w:type="character" w:customStyle="1" w:styleId="WW8Num7z0">
    <w:name w:val="WW8Num7z0"/>
    <w:rPr>
      <w:rFonts w:ascii="Symbol" w:hAnsi="Symbol" w:cs="Symbol"/>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ourier New" w:hAnsi="Courier New" w:cs="Courier New"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ourier New" w:hAnsi="Courier New" w:cs="Courier New"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sz w:val="22"/>
      <w:szCs w:val="22"/>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rPr>
      <w:rFonts w:ascii="Symbol" w:eastAsia="Calibri" w:hAnsi="Symbol"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Calibri" w:hAnsi="Times New Roman" w:cs="Times New Roman" w:hint="default"/>
      <w:b w:val="0"/>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style>
  <w:style w:type="character" w:customStyle="1" w:styleId="WW8Num19z0">
    <w:name w:val="WW8Num19z0"/>
    <w:rPr>
      <w:rFonts w:ascii="Symbol" w:hAnsi="Symbol" w:cs="Symbol"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Wingdings" w:hAnsi="Wingdings" w:cs="Wingding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Calibri" w:hAnsi="Symbol"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sz w:val="22"/>
      <w:szCs w:val="22"/>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eastAsia="Calibri"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Times New Roman" w:eastAsia="Calibri"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Policepardfaut1">
    <w:name w:val="Police par défaut1"/>
  </w:style>
  <w:style w:type="character" w:customStyle="1" w:styleId="Titre2Car">
    <w:name w:val="Titre 2 Car"/>
    <w:rPr>
      <w:sz w:val="24"/>
      <w:szCs w:val="24"/>
      <w:u w:val="single"/>
    </w:rPr>
  </w:style>
  <w:style w:type="character" w:customStyle="1" w:styleId="En-tteCar">
    <w:name w:val="En-tête Car"/>
    <w:rPr>
      <w:rFonts w:eastAsia="Calibri"/>
    </w:rPr>
  </w:style>
  <w:style w:type="character" w:customStyle="1" w:styleId="CorpsdetexteCar">
    <w:name w:val="Corps de texte Car"/>
    <w:rPr>
      <w:rFonts w:eastAsia="Calibri"/>
      <w:color w:val="FF0000"/>
    </w:rPr>
  </w:style>
  <w:style w:type="character" w:customStyle="1" w:styleId="TextedebullesCar">
    <w:name w:val="Texte de bulles Car"/>
    <w:rPr>
      <w:rFonts w:ascii="Tahoma" w:hAnsi="Tahoma" w:cs="Tahoma"/>
      <w:sz w:val="16"/>
      <w:szCs w:val="16"/>
    </w:rPr>
  </w:style>
  <w:style w:type="character" w:customStyle="1" w:styleId="PieddepageCar">
    <w:name w:val="Pied de page Car"/>
    <w:rPr>
      <w:sz w:val="24"/>
      <w:szCs w:val="24"/>
    </w:rPr>
  </w:style>
  <w:style w:type="character" w:customStyle="1" w:styleId="Titre1Car">
    <w:name w:val="Titre 1 Car"/>
    <w:rPr>
      <w:rFonts w:ascii="Cambria" w:eastAsia="Times New Roman" w:hAnsi="Cambria" w:cs="Times New Roman"/>
      <w:b/>
      <w:bCs/>
      <w:kern w:val="2"/>
      <w:sz w:val="32"/>
      <w:szCs w:val="32"/>
    </w:rPr>
  </w:style>
  <w:style w:type="character" w:customStyle="1" w:styleId="Corpsdetexte2Car">
    <w:name w:val="Corps de texte 2 Car"/>
    <w:rPr>
      <w:sz w:val="24"/>
      <w:szCs w:val="24"/>
    </w:rPr>
  </w:style>
  <w:style w:type="character" w:customStyle="1" w:styleId="NotedebasdepageCar">
    <w:name w:val="Note de bas de page Car"/>
    <w:basedOn w:val="Policepardfaut1"/>
  </w:style>
  <w:style w:type="character" w:customStyle="1" w:styleId="Caractresdenotedebasdepage">
    <w:name w:val="Caractères de note de bas de page"/>
    <w:rPr>
      <w:vertAlign w:val="superscript"/>
    </w:rPr>
  </w:style>
  <w:style w:type="character" w:styleId="Lienhypertexte">
    <w:name w:val="Hyperlink"/>
    <w:rPr>
      <w:color w:val="0000FF"/>
      <w:u w:val="single"/>
    </w:rPr>
  </w:style>
  <w:style w:type="character" w:customStyle="1" w:styleId="lien">
    <w:name w:val="lien"/>
    <w:basedOn w:val="Policepardfaut1"/>
  </w:style>
  <w:style w:type="character" w:customStyle="1" w:styleId="TitreCar">
    <w:name w:val="Titre Car"/>
    <w:rPr>
      <w:rFonts w:eastAsia="Times New Roman"/>
      <w:b/>
      <w:bCs/>
      <w:i/>
      <w:iCs/>
      <w:sz w:val="22"/>
      <w:szCs w:val="24"/>
      <w:u w:val="single"/>
    </w:rPr>
  </w:style>
  <w:style w:type="character" w:styleId="lev">
    <w:name w:val="Strong"/>
    <w:qFormat/>
    <w:rPr>
      <w:b/>
      <w:bCs/>
    </w:rPr>
  </w:style>
  <w:style w:type="character" w:customStyle="1" w:styleId="SansinterligneCar">
    <w:name w:val="Sans interligne Car"/>
    <w:rPr>
      <w:rFonts w:ascii="Calibri" w:eastAsia="Times New Roman" w:hAnsi="Calibri" w:cs="Calibri"/>
      <w:sz w:val="22"/>
      <w:szCs w:val="22"/>
      <w:lang w:val="fr-FR" w:bidi="ar-SA"/>
    </w:rPr>
  </w:style>
  <w:style w:type="character" w:customStyle="1" w:styleId="Marquedecommentaire1">
    <w:name w:val="Marque de commentaire1"/>
    <w:rPr>
      <w:sz w:val="16"/>
      <w:szCs w:val="16"/>
    </w:rPr>
  </w:style>
  <w:style w:type="character" w:customStyle="1" w:styleId="CommentaireCar">
    <w:name w:val="Commentaire Car"/>
    <w:basedOn w:val="Policepardfaut1"/>
  </w:style>
  <w:style w:type="character" w:customStyle="1" w:styleId="ObjetducommentaireCar">
    <w:name w:val="Objet du commentaire Car"/>
    <w:rPr>
      <w:b/>
      <w:bCs/>
    </w:rPr>
  </w:style>
  <w:style w:type="character" w:customStyle="1" w:styleId="NotedefinCar">
    <w:name w:val="Note de fin Car"/>
    <w:basedOn w:val="Policepardfaut1"/>
  </w:style>
  <w:style w:type="character" w:customStyle="1" w:styleId="Caractresdenotedefin">
    <w:name w:val="Caractères de note de fin"/>
    <w:rPr>
      <w:vertAlign w:val="superscript"/>
    </w:rPr>
  </w:style>
  <w:style w:type="character" w:customStyle="1" w:styleId="Puces">
    <w:name w:val="Puces"/>
    <w:rPr>
      <w:rFonts w:ascii="OpenSymbol" w:eastAsia="OpenSymbol" w:hAnsi="OpenSymbol" w:cs="OpenSymbol"/>
    </w:rPr>
  </w:style>
  <w:style w:type="paragraph" w:customStyle="1" w:styleId="Titre10">
    <w:name w:val="Titre1"/>
    <w:basedOn w:val="Normal"/>
    <w:next w:val="Corpsdetexte"/>
    <w:pPr>
      <w:spacing w:line="240" w:lineRule="auto"/>
      <w:jc w:val="center"/>
    </w:pPr>
    <w:rPr>
      <w:rFonts w:eastAsia="Times New Roman"/>
      <w:b/>
      <w:bCs/>
      <w:i/>
      <w:iCs/>
      <w:sz w:val="22"/>
      <w:u w:val="single"/>
    </w:rPr>
  </w:style>
  <w:style w:type="paragraph" w:styleId="Corpsdetexte">
    <w:name w:val="Body Text"/>
    <w:basedOn w:val="Normal"/>
    <w:rPr>
      <w:color w:val="FF0000"/>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aragraphedeliste">
    <w:name w:val="List Paragraph"/>
    <w:basedOn w:val="Normal"/>
    <w:qFormat/>
    <w:pPr>
      <w:ind w:left="720"/>
      <w:contextualSpacing/>
    </w:pPr>
  </w:style>
  <w:style w:type="paragraph" w:styleId="En-tte">
    <w:name w:val="header"/>
    <w:basedOn w:val="Normal"/>
  </w:style>
  <w:style w:type="paragraph" w:styleId="Textedebulles">
    <w:name w:val="Balloon Text"/>
    <w:basedOn w:val="Normal"/>
    <w:pPr>
      <w:spacing w:line="240" w:lineRule="auto"/>
    </w:pPr>
    <w:rPr>
      <w:rFonts w:ascii="Tahoma" w:hAnsi="Tahoma" w:cs="Tahoma"/>
      <w:sz w:val="16"/>
      <w:szCs w:val="16"/>
    </w:rPr>
  </w:style>
  <w:style w:type="paragraph" w:styleId="Pieddepage">
    <w:name w:val="footer"/>
    <w:basedOn w:val="Normal"/>
  </w:style>
  <w:style w:type="paragraph" w:customStyle="1" w:styleId="Corpsdetexte21">
    <w:name w:val="Corps de texte 21"/>
    <w:basedOn w:val="Normal"/>
    <w:pPr>
      <w:spacing w:after="120" w:line="480" w:lineRule="auto"/>
    </w:pPr>
  </w:style>
  <w:style w:type="paragraph" w:customStyle="1" w:styleId="Liste21">
    <w:name w:val="Liste 21"/>
    <w:basedOn w:val="Normal"/>
    <w:pPr>
      <w:spacing w:line="240" w:lineRule="auto"/>
      <w:ind w:left="566" w:hanging="283"/>
      <w:jc w:val="left"/>
    </w:pPr>
    <w:rPr>
      <w:rFonts w:eastAsia="Times New Roman"/>
    </w:rPr>
  </w:style>
  <w:style w:type="paragraph" w:customStyle="1" w:styleId="Listepuces31">
    <w:name w:val="Liste à puces 31"/>
    <w:basedOn w:val="Normal"/>
    <w:pPr>
      <w:numPr>
        <w:numId w:val="3"/>
      </w:numPr>
      <w:spacing w:line="240" w:lineRule="auto"/>
    </w:pPr>
    <w:rPr>
      <w:rFonts w:eastAsia="Times New Roman"/>
      <w:b/>
      <w:u w:val="single"/>
    </w:rPr>
  </w:style>
  <w:style w:type="paragraph" w:styleId="NormalWeb">
    <w:name w:val="Normal (Web)"/>
    <w:basedOn w:val="Normal"/>
    <w:pPr>
      <w:spacing w:before="280" w:after="280" w:line="240" w:lineRule="auto"/>
      <w:jc w:val="left"/>
    </w:pPr>
    <w:rPr>
      <w:rFonts w:eastAsia="Times New Roman"/>
    </w:rPr>
  </w:style>
  <w:style w:type="paragraph" w:customStyle="1" w:styleId="spip">
    <w:name w:val="spip"/>
    <w:basedOn w:val="Normal"/>
    <w:pPr>
      <w:spacing w:before="280" w:after="280" w:line="240" w:lineRule="auto"/>
      <w:jc w:val="left"/>
    </w:pPr>
    <w:rPr>
      <w:rFonts w:eastAsia="Times New Roman"/>
    </w:rPr>
  </w:style>
  <w:style w:type="paragraph" w:styleId="Notedebasdepage">
    <w:name w:val="footnote text"/>
    <w:basedOn w:val="Normal"/>
    <w:rPr>
      <w:sz w:val="20"/>
      <w:szCs w:val="20"/>
    </w:rPr>
  </w:style>
  <w:style w:type="paragraph" w:customStyle="1" w:styleId="gesact">
    <w:name w:val="gesact"/>
    <w:pPr>
      <w:keepLines/>
      <w:suppressAutoHyphens/>
      <w:ind w:firstLine="1134"/>
      <w:jc w:val="both"/>
    </w:pPr>
    <w:rPr>
      <w:rFonts w:ascii="Arial" w:hAnsi="Arial" w:cs="Arial"/>
      <w:sz w:val="22"/>
      <w:lang w:eastAsia="zh-CN"/>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D8518EA2FBAF40A8B02F7AE3ACA65F01">
    <w:name w:val="D8518EA2FBAF40A8B02F7AE3ACA65F01"/>
    <w:pPr>
      <w:suppressAutoHyphens/>
      <w:spacing w:after="200" w:line="276" w:lineRule="auto"/>
    </w:pPr>
    <w:rPr>
      <w:rFonts w:ascii="Calibri" w:hAnsi="Calibri" w:cs="Calibri"/>
      <w:sz w:val="22"/>
      <w:szCs w:val="22"/>
      <w:lang w:val="en-US" w:eastAsia="zh-CN"/>
    </w:rPr>
  </w:style>
  <w:style w:type="paragraph" w:styleId="Sansinterligne">
    <w:name w:val="No Spacing"/>
    <w:qFormat/>
    <w:pPr>
      <w:suppressAutoHyphens/>
    </w:pPr>
    <w:rPr>
      <w:rFonts w:ascii="Calibri" w:hAnsi="Calibri" w:cs="Calibri"/>
      <w:sz w:val="22"/>
      <w:szCs w:val="22"/>
      <w:lang w:eastAsia="zh-CN"/>
    </w:rPr>
  </w:style>
  <w:style w:type="paragraph" w:customStyle="1" w:styleId="Commentaire1">
    <w:name w:val="Commentaire1"/>
    <w:basedOn w:val="Normal"/>
    <w:pPr>
      <w:spacing w:line="240" w:lineRule="auto"/>
    </w:pPr>
    <w:rPr>
      <w:sz w:val="20"/>
      <w:szCs w:val="20"/>
    </w:rPr>
  </w:style>
  <w:style w:type="paragraph" w:styleId="Objetducommentaire">
    <w:name w:val="annotation subject"/>
    <w:basedOn w:val="Commentaire1"/>
    <w:next w:val="Commentaire1"/>
    <w:rPr>
      <w:b/>
      <w:bCs/>
    </w:rPr>
  </w:style>
  <w:style w:type="paragraph" w:styleId="Notedefin">
    <w:name w:val="endnote text"/>
    <w:basedOn w:val="Normal"/>
    <w:pPr>
      <w:spacing w:line="240" w:lineRule="auto"/>
    </w:pPr>
    <w:rPr>
      <w:sz w:val="20"/>
      <w:szCs w:val="20"/>
    </w:r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Style1">
    <w:name w:val="Style1"/>
    <w:basedOn w:val="Normal"/>
    <w:rPr>
      <w:color w:val="000000"/>
    </w:rPr>
  </w:style>
  <w:style w:type="table" w:styleId="Grilledutableau">
    <w:name w:val="Table Grid"/>
    <w:basedOn w:val="TableauNormal"/>
    <w:uiPriority w:val="39"/>
    <w:rsid w:val="008D2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308931">
      <w:bodyDiv w:val="1"/>
      <w:marLeft w:val="0"/>
      <w:marRight w:val="0"/>
      <w:marTop w:val="0"/>
      <w:marBottom w:val="0"/>
      <w:divBdr>
        <w:top w:val="none" w:sz="0" w:space="0" w:color="auto"/>
        <w:left w:val="none" w:sz="0" w:space="0" w:color="auto"/>
        <w:bottom w:val="none" w:sz="0" w:space="0" w:color="auto"/>
        <w:right w:val="none" w:sz="0" w:space="0" w:color="auto"/>
      </w:divBdr>
    </w:div>
    <w:div w:id="137037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756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Temps périscolaires en Morbihan</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Temps périscolaires en Morbihan</dc:title>
  <dc:subject/>
  <dc:creator>estelle</dc:creator>
  <cp:keywords/>
  <cp:lastModifiedBy>Thibaud DELAUNAY</cp:lastModifiedBy>
  <cp:revision>4</cp:revision>
  <cp:lastPrinted>2025-05-28T11:22:00Z</cp:lastPrinted>
  <dcterms:created xsi:type="dcterms:W3CDTF">2025-05-28T11:43:00Z</dcterms:created>
  <dcterms:modified xsi:type="dcterms:W3CDTF">2025-05-28T11:52:00Z</dcterms:modified>
</cp:coreProperties>
</file>